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BBF42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bookmarkStart w:id="0" w:name="_GoBack"/>
      <w:bookmarkEnd w:id="0"/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2．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4 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圆与圆的位置关系</w:t>
      </w:r>
    </w:p>
    <w:p w14:paraId="6F25253C">
      <w:pPr>
        <w:spacing w:after="0" w:line="360" w:lineRule="auto"/>
        <w:jc w:val="both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1．圆与圆的5种位置关系</w:t>
      </w:r>
    </w:p>
    <w:tbl>
      <w:tblPr>
        <w:tblStyle w:val="16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7"/>
        <w:gridCol w:w="1438"/>
        <w:gridCol w:w="1438"/>
        <w:gridCol w:w="1438"/>
        <w:gridCol w:w="1438"/>
        <w:gridCol w:w="1439"/>
      </w:tblGrid>
      <w:tr w14:paraId="6D8CA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7" w:type="dxa"/>
            <w:shd w:val="clear" w:color="auto" w:fill="auto"/>
            <w:vAlign w:val="center"/>
          </w:tcPr>
          <w:p w14:paraId="7F125BF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圆与圆的位置关系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E5F059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外离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E66839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外切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DD31CE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709D7F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内切</w:t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1FADE73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内含</w:t>
            </w:r>
          </w:p>
        </w:tc>
      </w:tr>
      <w:tr w14:paraId="20773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7" w:type="dxa"/>
            <w:shd w:val="clear" w:color="auto" w:fill="auto"/>
            <w:vAlign w:val="center"/>
          </w:tcPr>
          <w:p w14:paraId="4742905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图象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5FA942D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734695" cy="467995"/>
                  <wp:effectExtent l="0" t="0" r="8255" b="8255"/>
                  <wp:docPr id="31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69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B75D9A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773430" cy="467995"/>
                  <wp:effectExtent l="0" t="0" r="7620" b="8255"/>
                  <wp:docPr id="32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343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732C4B5C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683895" cy="467995"/>
                  <wp:effectExtent l="0" t="0" r="1905" b="8255"/>
                  <wp:docPr id="33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895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5540B53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552450" cy="467995"/>
                  <wp:effectExtent l="0" t="0" r="0" b="8255"/>
                  <wp:docPr id="34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9" w:type="dxa"/>
            <w:shd w:val="clear" w:color="auto" w:fill="auto"/>
            <w:vAlign w:val="center"/>
          </w:tcPr>
          <w:p w14:paraId="04432F3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0"/>
                <w14:ligatures w14:val="none"/>
              </w:rPr>
              <w:drawing>
                <wp:inline distT="0" distB="0" distL="114300" distR="114300">
                  <wp:extent cx="666750" cy="467995"/>
                  <wp:effectExtent l="0" t="0" r="0" b="8255"/>
                  <wp:docPr id="35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467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7017EB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2．圆与圆位置关系的判断</w:t>
      </w:r>
    </w:p>
    <w:tbl>
      <w:tblPr>
        <w:tblStyle w:val="16"/>
        <w:tblW w:w="87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6"/>
        <w:gridCol w:w="941"/>
        <w:gridCol w:w="982"/>
        <w:gridCol w:w="1377"/>
        <w:gridCol w:w="1146"/>
        <w:gridCol w:w="1186"/>
      </w:tblGrid>
      <w:tr w14:paraId="765F0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6" w:type="dxa"/>
            <w:vAlign w:val="center"/>
          </w:tcPr>
          <w:p w14:paraId="1F5252D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圆与圆的位置关系</w:t>
            </w:r>
          </w:p>
        </w:tc>
        <w:tc>
          <w:tcPr>
            <w:tcW w:w="941" w:type="dxa"/>
            <w:vAlign w:val="center"/>
          </w:tcPr>
          <w:p w14:paraId="343FB12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外离</w:t>
            </w:r>
          </w:p>
        </w:tc>
        <w:tc>
          <w:tcPr>
            <w:tcW w:w="982" w:type="dxa"/>
            <w:vAlign w:val="center"/>
          </w:tcPr>
          <w:p w14:paraId="0A7B285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外切</w:t>
            </w:r>
          </w:p>
        </w:tc>
        <w:tc>
          <w:tcPr>
            <w:tcW w:w="1377" w:type="dxa"/>
            <w:vAlign w:val="center"/>
          </w:tcPr>
          <w:p w14:paraId="31C753E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相交</w:t>
            </w:r>
          </w:p>
        </w:tc>
        <w:tc>
          <w:tcPr>
            <w:tcW w:w="1146" w:type="dxa"/>
            <w:vAlign w:val="center"/>
          </w:tcPr>
          <w:p w14:paraId="46EB2EB2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内切</w:t>
            </w:r>
          </w:p>
        </w:tc>
        <w:tc>
          <w:tcPr>
            <w:tcW w:w="1186" w:type="dxa"/>
            <w:vAlign w:val="center"/>
          </w:tcPr>
          <w:p w14:paraId="476B31B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内含</w:t>
            </w:r>
          </w:p>
        </w:tc>
      </w:tr>
      <w:tr w14:paraId="0F86A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6" w:type="dxa"/>
            <w:vAlign w:val="center"/>
          </w:tcPr>
          <w:p w14:paraId="3655BAE8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两圆公共点个数</w:t>
            </w:r>
          </w:p>
        </w:tc>
        <w:tc>
          <w:tcPr>
            <w:tcW w:w="941" w:type="dxa"/>
            <w:vAlign w:val="center"/>
          </w:tcPr>
          <w:p w14:paraId="11F0150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982" w:type="dxa"/>
            <w:vAlign w:val="center"/>
          </w:tcPr>
          <w:p w14:paraId="426255C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377" w:type="dxa"/>
            <w:vAlign w:val="center"/>
          </w:tcPr>
          <w:p w14:paraId="51807BC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146" w:type="dxa"/>
            <w:vAlign w:val="center"/>
          </w:tcPr>
          <w:p w14:paraId="4919FACE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186" w:type="dxa"/>
            <w:vAlign w:val="center"/>
          </w:tcPr>
          <w:p w14:paraId="04B7856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21"/>
                <w:szCs w:val="18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  <w:tr w14:paraId="51AD8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6" w:type="dxa"/>
            <w:vAlign w:val="center"/>
          </w:tcPr>
          <w:p w14:paraId="3C24335C">
            <w:pPr>
              <w:spacing w:after="120" w:line="240" w:lineRule="auto"/>
              <w:jc w:val="both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方程组</w:t>
            </w:r>
          </w:p>
          <w:p w14:paraId="53D32AC9">
            <w:pPr>
              <w:spacing w:after="120" w:line="240" w:lineRule="auto"/>
              <w:jc w:val="both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x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x+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E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y+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F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1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=0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，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x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Sup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y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e>
                        <m:sup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18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bCs/>
                              <w:i/>
                              <w:iCs/>
                              <w:kern w:val="0"/>
                              <w:sz w:val="21"/>
                              <w:szCs w:val="18"/>
                              <w14:ligatures w14:val="none"/>
                            </w:rPr>
                          </m:ctrlPr>
                        </m:sup>
                      </m:sSup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x+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E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y+</m:t>
                      </m:r>
                      <m:sSub>
                        <m:sSubP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F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 w:cs="Times New Roman"/>
                              <w:kern w:val="0"/>
                              <w:sz w:val="21"/>
                              <w:szCs w:val="21"/>
                              <w14:ligatures w14:val="none"/>
                            </w:rPr>
                            <m:t>2</m:t>
                          </m:r>
                          <m:ctrlPr>
                            <w:rPr>
                              <w:rFonts w:ascii="Cambria Math" w:hAnsi="Cambria Math" w:eastAsia="宋体" w:cs="Times New Roman"/>
                              <w:i/>
                              <w:kern w:val="0"/>
                              <w:sz w:val="21"/>
                              <w:szCs w:val="21"/>
                              <w14:ligatures w14:val="none"/>
                            </w:rPr>
                          </m:ctrlPr>
                        </m:sub>
                      </m:sSub>
                      <m:r>
                        <m:rPr/>
                        <w:rPr>
                          <w:rFonts w:ascii="Cambria Math" w:hAnsi="Cambria Math" w:eastAsia="宋体" w:cs="Times New Roman"/>
                          <w:kern w:val="0"/>
                          <w:sz w:val="21"/>
                          <w:szCs w:val="18"/>
                          <w14:ligatures w14:val="none"/>
                        </w:rPr>
                        <m:t>=0</m:t>
                      </m:r>
                      <m:ctrlPr>
                        <w:rPr>
                          <w:rFonts w:ascii="Cambria Math" w:hAnsi="Cambria Math" w:eastAsia="宋体" w:cs="Times New Roman"/>
                          <w:bCs/>
                          <w:i/>
                          <w:kern w:val="0"/>
                          <w:sz w:val="21"/>
                          <w:szCs w:val="21"/>
                          <w14:ligatures w14:val="none"/>
                        </w:rPr>
                      </m:ctrlPr>
                    </m:e>
                  </m:eqArr>
                  <m:ctrlPr>
                    <w:rPr>
                      <w:rFonts w:ascii="Cambria Math" w:hAnsi="Cambria Math" w:eastAsia="宋体" w:cs="Times New Roman"/>
                      <w:bCs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</m:d>
            </m:oMath>
            <w:r>
              <w:rPr>
                <w:rFonts w:ascii="Times New Roman" w:hAnsi="Times New Roman" w:eastAsia="宋体" w:cs="Times New Roman"/>
                <w:bCs/>
                <w:kern w:val="0"/>
                <w:sz w:val="21"/>
                <w:szCs w:val="21"/>
                <w14:ligatures w14:val="none"/>
              </w:rPr>
              <w:t>的解的情况</w:t>
            </w:r>
          </w:p>
        </w:tc>
        <w:tc>
          <w:tcPr>
            <w:tcW w:w="941" w:type="dxa"/>
            <w:vAlign w:val="center"/>
          </w:tcPr>
          <w:p w14:paraId="671D3D1B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无解</w:t>
            </w:r>
          </w:p>
        </w:tc>
        <w:tc>
          <w:tcPr>
            <w:tcW w:w="982" w:type="dxa"/>
            <w:vAlign w:val="center"/>
          </w:tcPr>
          <w:p w14:paraId="67BE17B6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一组解</w:t>
            </w:r>
          </w:p>
        </w:tc>
        <w:tc>
          <w:tcPr>
            <w:tcW w:w="1377" w:type="dxa"/>
            <w:vAlign w:val="center"/>
          </w:tcPr>
          <w:p w14:paraId="02A0985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两组不</w:t>
            </w:r>
          </w:p>
          <w:p w14:paraId="6600A7FA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同的解</w:t>
            </w:r>
          </w:p>
        </w:tc>
        <w:tc>
          <w:tcPr>
            <w:tcW w:w="1146" w:type="dxa"/>
            <w:vAlign w:val="center"/>
          </w:tcPr>
          <w:p w14:paraId="42391D61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一组解</w:t>
            </w:r>
          </w:p>
        </w:tc>
        <w:tc>
          <w:tcPr>
            <w:tcW w:w="1186" w:type="dxa"/>
            <w:vAlign w:val="center"/>
          </w:tcPr>
          <w:p w14:paraId="2428F0E0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无解</w:t>
            </w:r>
          </w:p>
        </w:tc>
      </w:tr>
      <w:tr w14:paraId="49259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06" w:type="dxa"/>
            <w:vAlign w:val="center"/>
          </w:tcPr>
          <w:p w14:paraId="08C7259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</w:pP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圆心距</w:t>
            </w:r>
            <w:r>
              <w:rPr>
                <w:rFonts w:ascii="Times New Roman" w:hAnsi="Times New Roman" w:eastAsia="宋体" w:cs="Times New Roman"/>
                <w:bCs/>
                <w:i/>
                <w:kern w:val="0"/>
                <w:sz w:val="21"/>
                <w:szCs w:val="18"/>
                <w14:ligatures w14:val="none"/>
              </w:rPr>
              <w:t>d</w:t>
            </w:r>
            <w:r>
              <w:rPr>
                <w:rFonts w:ascii="Times New Roman" w:hAnsi="Times New Roman" w:eastAsia="宋体" w:cs="Times New Roman"/>
                <w:bCs/>
                <w:iCs/>
                <w:kern w:val="0"/>
                <w:sz w:val="21"/>
                <w:szCs w:val="18"/>
                <w14:ligatures w14:val="none"/>
              </w:rPr>
              <w:t>和两圆半径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1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、</w:t>
            </w:r>
            <m:oMath>
              <m:sSub>
                <m:sSubP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SubPr>
                <m:e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r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e>
                <m:sub>
                  <m:r>
                    <m:rPr/>
                    <w:rPr>
                      <w:rFonts w:ascii="Cambria Math" w:hAnsi="Cambria Math" w:eastAsia="宋体" w:cs="Times New Roman"/>
                      <w:kern w:val="0"/>
                      <w:sz w:val="21"/>
                      <w:szCs w:val="21"/>
                      <w14:ligatures w14:val="none"/>
                    </w:rPr>
                    <m:t>2</m:t>
                  </m:r>
                  <m:ctrlPr>
                    <w:rPr>
                      <w:rFonts w:ascii="Cambria Math" w:hAnsi="Cambria Math" w:eastAsia="宋体" w:cs="Times New Roman"/>
                      <w:i/>
                      <w:kern w:val="0"/>
                      <w:sz w:val="21"/>
                      <w:szCs w:val="21"/>
                      <w14:ligatures w14:val="none"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14:ligatures w14:val="none"/>
              </w:rPr>
              <w:t>的关系</w:t>
            </w:r>
          </w:p>
        </w:tc>
        <w:tc>
          <w:tcPr>
            <w:tcW w:w="941" w:type="dxa"/>
            <w:vAlign w:val="center"/>
          </w:tcPr>
          <w:p w14:paraId="5AF984F7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982" w:type="dxa"/>
            <w:vAlign w:val="center"/>
          </w:tcPr>
          <w:p w14:paraId="316EEEA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377" w:type="dxa"/>
            <w:vAlign w:val="center"/>
          </w:tcPr>
          <w:p w14:paraId="07C5ED89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146" w:type="dxa"/>
            <w:vAlign w:val="center"/>
          </w:tcPr>
          <w:p w14:paraId="4F366015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  <w:tc>
          <w:tcPr>
            <w:tcW w:w="1186" w:type="dxa"/>
            <w:vAlign w:val="center"/>
          </w:tcPr>
          <w:p w14:paraId="7410F21F">
            <w:pPr>
              <w:spacing w:after="120" w:line="240" w:lineRule="auto"/>
              <w:jc w:val="center"/>
              <w:rPr>
                <w:rFonts w:ascii="Times New Roman" w:hAnsi="Times New Roman" w:eastAsia="宋体" w:cs="Times New Roman"/>
                <w:bCs/>
                <w:iCs/>
                <w:color w:val="0000FF"/>
                <w:kern w:val="0"/>
                <w:sz w:val="18"/>
                <w:szCs w:val="15"/>
                <w14:ligatures w14:val="no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u w:val="single"/>
                <w14:ligatures w14:val="none"/>
              </w:rPr>
              <w:t xml:space="preserve">           </w:t>
            </w:r>
          </w:p>
        </w:tc>
      </w:tr>
    </w:tbl>
    <w:p w14:paraId="411498F1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注意点：</w:t>
      </w:r>
    </w:p>
    <w:p w14:paraId="4E3C3B4E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（1）利用代数法判断两圆位置关系时，当方程无解或有一解时，无法判断两圆的位置关系．</w:t>
      </w:r>
    </w:p>
    <w:p w14:paraId="77BBEC6F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（2）在判断两圆的位置关系时，优先使用几何法．</w:t>
      </w:r>
    </w:p>
    <w:p w14:paraId="7F6A5B00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2．两圆公切线：与两个圆都相切的直线</w:t>
      </w:r>
      <w:r>
        <w:rPr>
          <w:rFonts w:hint="eastAsia" w:ascii="Times New Roman" w:hAnsi="Times New Roman" w:eastAsia="宋体" w:cs="Times New Roman"/>
          <w:bCs/>
          <w:sz w:val="21"/>
          <w:szCs w:val="21"/>
          <w14:ligatures w14:val="none"/>
        </w:rPr>
        <w:t>叫作</w:t>
      </w: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 xml:space="preserve">两圆的公切线，圆的公切线包括外公切线和内公切线两种． </w:t>
      </w:r>
    </w:p>
    <w:p w14:paraId="2E3218CB">
      <w:pPr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两圆外离时，有2条外公切线和2条内公切线，共4条；</w:t>
      </w:r>
    </w:p>
    <w:p w14:paraId="52EDFF15">
      <w:pPr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 xml:space="preserve"> 两圆外切时，有2条外公切线和1条内公切线，共3条； </w:t>
      </w:r>
    </w:p>
    <w:p w14:paraId="0F5FB295">
      <w:pPr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 xml:space="preserve">两圆相交时，只有2条外公切线； </w:t>
      </w:r>
    </w:p>
    <w:p w14:paraId="6552AB75">
      <w:pPr>
        <w:numPr>
          <w:ilvl w:val="0"/>
          <w:numId w:val="1"/>
        </w:num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 xml:space="preserve">两圆内切时，只有1条外公切线； </w:t>
      </w:r>
    </w:p>
    <w:p w14:paraId="2F88A396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sz w:val="21"/>
          <w:szCs w:val="21"/>
          <w14:ligatures w14:val="none"/>
        </w:rPr>
        <w:t>（5）两圆内含时，无公切线．</w:t>
      </w:r>
    </w:p>
    <w:p w14:paraId="27F8838A">
      <w:pPr>
        <w:spacing w:after="120" w:line="360" w:lineRule="auto"/>
        <w:jc w:val="both"/>
        <w:rPr>
          <w:rFonts w:ascii="Times New Roman" w:hAnsi="Times New Roman" w:eastAsia="宋体" w:cs="Times New Roman"/>
          <w:bCs/>
          <w:sz w:val="21"/>
          <w:szCs w:val="21"/>
          <w14:ligatures w14:val="none"/>
        </w:rPr>
      </w:pPr>
    </w:p>
    <w:p w14:paraId="03DB1B01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</w:p>
    <w:p w14:paraId="6F628F2A"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E808E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-1532890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C231BE8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6DA445"/>
    <w:multiLevelType w:val="singleLevel"/>
    <w:tmpl w:val="CB6DA44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A0"/>
    <w:rsid w:val="001A33E4"/>
    <w:rsid w:val="001B7FA0"/>
    <w:rsid w:val="007E68FC"/>
    <w:rsid w:val="00B0323C"/>
    <w:rsid w:val="35C97B97"/>
    <w:rsid w:val="5D9F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366</Characters>
  <Lines>29</Lines>
  <Paragraphs>28</Paragraphs>
  <TotalTime>0</TotalTime>
  <ScaleCrop>false</ScaleCrop>
  <LinksUpToDate>false</LinksUpToDate>
  <CharactersWithSpaces>482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2025-04-01T09:52:00Z</dcterms:created>
  <dc:creator>路阳 梁</dc:creator>
  <cp:lastModifiedBy>小明同学</cp:lastModifiedBy>
  <dcterms:modified xsi:type="dcterms:W3CDTF">2026-03-20T03:58:41Z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6BC4ADBC88D048FC9B75FD722D06571B_12</vt:lpwstr>
  </property>
</Properties>
</file>